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7" w:rsidRPr="00FD0806" w:rsidRDefault="00383C67" w:rsidP="00383C67">
      <w:pPr>
        <w:jc w:val="center"/>
        <w:rPr>
          <w:b/>
          <w:sz w:val="24"/>
          <w:szCs w:val="24"/>
        </w:rPr>
      </w:pPr>
      <w:r w:rsidRPr="00FD0806">
        <w:rPr>
          <w:b/>
          <w:sz w:val="24"/>
          <w:szCs w:val="24"/>
        </w:rPr>
        <w:t>IZVJEŠĆE O PROVEDBI PLANIRANIH KOORDINIRANIH NADZORA</w:t>
      </w:r>
    </w:p>
    <w:p w:rsidR="00383C67" w:rsidRPr="00FD0806" w:rsidRDefault="007E0067" w:rsidP="00383C67">
      <w:pPr>
        <w:jc w:val="center"/>
        <w:rPr>
          <w:b/>
          <w:sz w:val="24"/>
          <w:szCs w:val="24"/>
        </w:rPr>
      </w:pPr>
      <w:r w:rsidRPr="00FD0806">
        <w:rPr>
          <w:b/>
          <w:sz w:val="24"/>
          <w:szCs w:val="24"/>
        </w:rPr>
        <w:t>I</w:t>
      </w:r>
      <w:r w:rsidR="00E86F0C">
        <w:rPr>
          <w:b/>
          <w:sz w:val="24"/>
          <w:szCs w:val="24"/>
        </w:rPr>
        <w:t>V</w:t>
      </w:r>
      <w:r w:rsidR="009E788C">
        <w:rPr>
          <w:b/>
          <w:sz w:val="24"/>
          <w:szCs w:val="24"/>
        </w:rPr>
        <w:t xml:space="preserve"> </w:t>
      </w:r>
      <w:r w:rsidR="00383C67" w:rsidRPr="00FD0806">
        <w:rPr>
          <w:b/>
          <w:sz w:val="24"/>
          <w:szCs w:val="24"/>
        </w:rPr>
        <w:t>kvartal 201</w:t>
      </w:r>
      <w:r w:rsidR="00FC3D83" w:rsidRPr="00FD0806">
        <w:rPr>
          <w:b/>
          <w:sz w:val="24"/>
          <w:szCs w:val="24"/>
        </w:rPr>
        <w:t>9.</w:t>
      </w:r>
    </w:p>
    <w:p w:rsidR="00383C67" w:rsidRPr="00FD0806" w:rsidRDefault="00383C67" w:rsidP="00383C67">
      <w:pPr>
        <w:jc w:val="both"/>
        <w:rPr>
          <w:sz w:val="22"/>
          <w:szCs w:val="22"/>
        </w:rPr>
      </w:pPr>
      <w:r w:rsidRPr="00FD0806">
        <w:rPr>
          <w:sz w:val="22"/>
          <w:szCs w:val="22"/>
        </w:rPr>
        <w:t>Sukladno Sporazumu o suradnji inspekcijskih službi u području okoliša iz srpnja 2007. odnosno lipnja 2008. godine i iskustva u provedbi koordiniranih nadzora inspekcija u području zaštite okoliša iz prethodnih godina, definirani su i usklađeni koordinirani inspekcijski nadzori za 201</w:t>
      </w:r>
      <w:r w:rsidR="00FC3D83" w:rsidRPr="00FD0806">
        <w:rPr>
          <w:sz w:val="22"/>
          <w:szCs w:val="22"/>
        </w:rPr>
        <w:t>9</w:t>
      </w:r>
      <w:r w:rsidR="00E040BC" w:rsidRPr="00FD0806">
        <w:rPr>
          <w:sz w:val="22"/>
          <w:szCs w:val="22"/>
        </w:rPr>
        <w:t>. godinu. Od 87</w:t>
      </w:r>
      <w:r w:rsidR="00682391" w:rsidRPr="00FD0806">
        <w:rPr>
          <w:sz w:val="22"/>
          <w:szCs w:val="22"/>
        </w:rPr>
        <w:t xml:space="preserve"> operatera predviđenih</w:t>
      </w:r>
      <w:r w:rsidRPr="00FD0806">
        <w:rPr>
          <w:sz w:val="22"/>
          <w:szCs w:val="22"/>
        </w:rPr>
        <w:t xml:space="preserve"> za koordinirani nadzor u teku</w:t>
      </w:r>
      <w:r w:rsidR="00FC3D83" w:rsidRPr="00FD0806">
        <w:rPr>
          <w:sz w:val="22"/>
          <w:szCs w:val="22"/>
        </w:rPr>
        <w:t xml:space="preserve">ćoj godini, u </w:t>
      </w:r>
      <w:r w:rsidR="007E0067" w:rsidRPr="00FD0806">
        <w:rPr>
          <w:sz w:val="22"/>
          <w:szCs w:val="22"/>
        </w:rPr>
        <w:t>I</w:t>
      </w:r>
      <w:r w:rsidR="00E86F0C">
        <w:rPr>
          <w:sz w:val="22"/>
          <w:szCs w:val="22"/>
        </w:rPr>
        <w:t>V</w:t>
      </w:r>
      <w:r w:rsidR="00FC3D83" w:rsidRPr="00FD0806">
        <w:rPr>
          <w:sz w:val="22"/>
          <w:szCs w:val="22"/>
        </w:rPr>
        <w:t xml:space="preserve"> tromjesečju 2019</w:t>
      </w:r>
      <w:r w:rsidR="00AF312D">
        <w:rPr>
          <w:sz w:val="22"/>
          <w:szCs w:val="22"/>
        </w:rPr>
        <w:t xml:space="preserve">. proveden je </w:t>
      </w:r>
      <w:r w:rsidR="00AF312D" w:rsidRPr="00E86F0C">
        <w:rPr>
          <w:sz w:val="22"/>
          <w:szCs w:val="22"/>
        </w:rPr>
        <w:t xml:space="preserve">nadzor </w:t>
      </w:r>
      <w:r w:rsidR="00E86F0C" w:rsidRPr="00E86F0C">
        <w:rPr>
          <w:sz w:val="22"/>
          <w:szCs w:val="22"/>
        </w:rPr>
        <w:t>20</w:t>
      </w:r>
      <w:r w:rsidR="00E040BC" w:rsidRPr="00E86F0C">
        <w:rPr>
          <w:sz w:val="22"/>
          <w:szCs w:val="22"/>
        </w:rPr>
        <w:t xml:space="preserve"> operater</w:t>
      </w:r>
      <w:r w:rsidR="00682391" w:rsidRPr="00E86F0C">
        <w:rPr>
          <w:sz w:val="22"/>
          <w:szCs w:val="22"/>
        </w:rPr>
        <w:t>a</w:t>
      </w:r>
      <w:r w:rsidR="00E90823">
        <w:rPr>
          <w:sz w:val="22"/>
          <w:szCs w:val="22"/>
        </w:rPr>
        <w:t>.</w:t>
      </w:r>
    </w:p>
    <w:p w:rsidR="00A7186A" w:rsidRPr="00A7186A" w:rsidRDefault="00383C67" w:rsidP="00FD0806">
      <w:pPr>
        <w:jc w:val="both"/>
        <w:rPr>
          <w:sz w:val="22"/>
          <w:szCs w:val="22"/>
        </w:rPr>
      </w:pPr>
      <w:r w:rsidRPr="00FD0806">
        <w:rPr>
          <w:sz w:val="22"/>
          <w:szCs w:val="22"/>
        </w:rPr>
        <w:t>Ovisno o vrsti djelatnosti operate</w:t>
      </w:r>
      <w:r w:rsidR="00AC4E03" w:rsidRPr="00FD0806">
        <w:rPr>
          <w:sz w:val="22"/>
          <w:szCs w:val="22"/>
        </w:rPr>
        <w:t xml:space="preserve">ra u koordiniranim nadzorima </w:t>
      </w:r>
      <w:r w:rsidRPr="00FD0806">
        <w:rPr>
          <w:sz w:val="22"/>
          <w:szCs w:val="22"/>
        </w:rPr>
        <w:t>osim inspektora zaštite okoliša (</w:t>
      </w:r>
      <w:r w:rsidR="00F84DDC" w:rsidRPr="00FD0806">
        <w:rPr>
          <w:sz w:val="22"/>
          <w:szCs w:val="22"/>
        </w:rPr>
        <w:t>IZO</w:t>
      </w:r>
      <w:r w:rsidRPr="00FD0806">
        <w:rPr>
          <w:sz w:val="22"/>
          <w:szCs w:val="22"/>
        </w:rPr>
        <w:t>) kao nositelja, predviđeno</w:t>
      </w:r>
      <w:r w:rsidR="00AC4E03" w:rsidRPr="00FD0806">
        <w:rPr>
          <w:sz w:val="22"/>
          <w:szCs w:val="22"/>
        </w:rPr>
        <w:t xml:space="preserve"> je</w:t>
      </w:r>
      <w:r w:rsidRPr="00FD0806">
        <w:rPr>
          <w:sz w:val="22"/>
          <w:szCs w:val="22"/>
        </w:rPr>
        <w:t xml:space="preserve"> sudjelovanje inspekcije zaštite prirode (</w:t>
      </w:r>
      <w:r w:rsidR="002D414A" w:rsidRPr="00FD0806">
        <w:rPr>
          <w:sz w:val="22"/>
          <w:szCs w:val="22"/>
        </w:rPr>
        <w:t>PRI</w:t>
      </w:r>
      <w:r w:rsidRPr="00FD0806">
        <w:rPr>
          <w:sz w:val="22"/>
          <w:szCs w:val="22"/>
        </w:rPr>
        <w:t>), vodopravne inspekcije</w:t>
      </w:r>
      <w:r w:rsidR="009F24F8" w:rsidRPr="00FD0806">
        <w:rPr>
          <w:sz w:val="22"/>
          <w:szCs w:val="22"/>
        </w:rPr>
        <w:t xml:space="preserve"> (VOD</w:t>
      </w:r>
      <w:r w:rsidR="00ED1915" w:rsidRPr="00FD0806">
        <w:rPr>
          <w:sz w:val="22"/>
          <w:szCs w:val="22"/>
        </w:rPr>
        <w:t>)</w:t>
      </w:r>
      <w:r w:rsidRPr="00FD0806">
        <w:rPr>
          <w:sz w:val="22"/>
          <w:szCs w:val="22"/>
        </w:rPr>
        <w:t xml:space="preserve">, elektroenergetske inspekcije </w:t>
      </w:r>
      <w:r w:rsidR="00ED1915" w:rsidRPr="00FD0806">
        <w:rPr>
          <w:sz w:val="22"/>
          <w:szCs w:val="22"/>
        </w:rPr>
        <w:t>(</w:t>
      </w:r>
      <w:r w:rsidR="002D414A" w:rsidRPr="00FD0806">
        <w:rPr>
          <w:sz w:val="22"/>
          <w:szCs w:val="22"/>
        </w:rPr>
        <w:t>EL</w:t>
      </w:r>
      <w:r w:rsidR="007E0067" w:rsidRPr="00FD0806">
        <w:rPr>
          <w:sz w:val="22"/>
          <w:szCs w:val="22"/>
        </w:rPr>
        <w:t xml:space="preserve">), </w:t>
      </w:r>
      <w:r w:rsidRPr="00FD0806">
        <w:rPr>
          <w:sz w:val="22"/>
          <w:szCs w:val="22"/>
        </w:rPr>
        <w:t>veterinarske (</w:t>
      </w:r>
      <w:r w:rsidR="00F84DDC" w:rsidRPr="00FD0806">
        <w:rPr>
          <w:sz w:val="22"/>
          <w:szCs w:val="22"/>
        </w:rPr>
        <w:t>VET</w:t>
      </w:r>
      <w:r w:rsidRPr="00FD0806">
        <w:rPr>
          <w:sz w:val="22"/>
          <w:szCs w:val="22"/>
        </w:rPr>
        <w:t>), poljoprivredne (</w:t>
      </w:r>
      <w:r w:rsidR="00F84DDC" w:rsidRPr="00FD0806">
        <w:rPr>
          <w:sz w:val="22"/>
          <w:szCs w:val="22"/>
        </w:rPr>
        <w:t>POLJ</w:t>
      </w:r>
      <w:r w:rsidR="007E0067" w:rsidRPr="00FD0806">
        <w:rPr>
          <w:sz w:val="22"/>
          <w:szCs w:val="22"/>
        </w:rPr>
        <w:t>),</w:t>
      </w:r>
      <w:r w:rsidRPr="00FD0806">
        <w:rPr>
          <w:sz w:val="22"/>
          <w:szCs w:val="22"/>
        </w:rPr>
        <w:t xml:space="preserve"> stočarske inspekcije (</w:t>
      </w:r>
      <w:r w:rsidR="00F84DDC" w:rsidRPr="00FD0806">
        <w:rPr>
          <w:sz w:val="22"/>
          <w:szCs w:val="22"/>
        </w:rPr>
        <w:t>STO</w:t>
      </w:r>
      <w:r w:rsidR="007E0067" w:rsidRPr="00FD0806">
        <w:rPr>
          <w:sz w:val="22"/>
          <w:szCs w:val="22"/>
        </w:rPr>
        <w:t>)</w:t>
      </w:r>
      <w:r w:rsidR="00A735DF" w:rsidRPr="00FD0806">
        <w:rPr>
          <w:sz w:val="22"/>
          <w:szCs w:val="22"/>
        </w:rPr>
        <w:t xml:space="preserve">, </w:t>
      </w:r>
      <w:r w:rsidRPr="00FD0806">
        <w:rPr>
          <w:sz w:val="22"/>
          <w:szCs w:val="22"/>
        </w:rPr>
        <w:t>sanitarne inspekcije (</w:t>
      </w:r>
      <w:r w:rsidR="002D414A" w:rsidRPr="00FD0806">
        <w:rPr>
          <w:sz w:val="22"/>
          <w:szCs w:val="22"/>
        </w:rPr>
        <w:t>SAN</w:t>
      </w:r>
      <w:r w:rsidRPr="00FD0806">
        <w:rPr>
          <w:sz w:val="22"/>
          <w:szCs w:val="22"/>
        </w:rPr>
        <w:t>), rudarske inspekcije (</w:t>
      </w:r>
      <w:r w:rsidR="00F84DDC" w:rsidRPr="00FD0806">
        <w:rPr>
          <w:sz w:val="22"/>
          <w:szCs w:val="22"/>
        </w:rPr>
        <w:t>RUD</w:t>
      </w:r>
      <w:r w:rsidRPr="00FD0806">
        <w:rPr>
          <w:sz w:val="22"/>
          <w:szCs w:val="22"/>
        </w:rPr>
        <w:t>)</w:t>
      </w:r>
      <w:r w:rsidR="00B00A2F" w:rsidRPr="00FD0806">
        <w:rPr>
          <w:sz w:val="22"/>
          <w:szCs w:val="22"/>
        </w:rPr>
        <w:t>,</w:t>
      </w:r>
      <w:r w:rsidRPr="00FD0806">
        <w:rPr>
          <w:sz w:val="22"/>
          <w:szCs w:val="22"/>
        </w:rPr>
        <w:t xml:space="preserve"> inspekcije opreme pod tlakom (</w:t>
      </w:r>
      <w:r w:rsidR="00F84DDC" w:rsidRPr="00FD0806">
        <w:rPr>
          <w:sz w:val="22"/>
          <w:szCs w:val="22"/>
        </w:rPr>
        <w:t>OPT</w:t>
      </w:r>
      <w:r w:rsidRPr="00FD0806">
        <w:rPr>
          <w:sz w:val="22"/>
          <w:szCs w:val="22"/>
        </w:rPr>
        <w:t>), inspekcije zaštite na radu (</w:t>
      </w:r>
      <w:r w:rsidR="00F84DDC" w:rsidRPr="00FD0806">
        <w:rPr>
          <w:sz w:val="22"/>
          <w:szCs w:val="22"/>
        </w:rPr>
        <w:t>ZNR</w:t>
      </w:r>
      <w:r w:rsidR="00B80577" w:rsidRPr="00FD0806">
        <w:rPr>
          <w:sz w:val="22"/>
          <w:szCs w:val="22"/>
        </w:rPr>
        <w:t xml:space="preserve">), inspekcije gospodarenja otrovnim kemikalijama (IGOK) </w:t>
      </w:r>
      <w:r w:rsidR="00A1420F" w:rsidRPr="00FD0806">
        <w:rPr>
          <w:sz w:val="22"/>
          <w:szCs w:val="22"/>
        </w:rPr>
        <w:t xml:space="preserve">Državnog inspektorata </w:t>
      </w:r>
      <w:r w:rsidR="00B80577" w:rsidRPr="00FD0806">
        <w:rPr>
          <w:sz w:val="22"/>
          <w:szCs w:val="22"/>
        </w:rPr>
        <w:t xml:space="preserve">te </w:t>
      </w:r>
      <w:r w:rsidR="007E0067" w:rsidRPr="00FD0806">
        <w:rPr>
          <w:sz w:val="22"/>
          <w:szCs w:val="22"/>
        </w:rPr>
        <w:t>inspekcije zaštite od požara, eksploziva i vatrogastva (ZOP) i inspekcije civilne zaštite (ICZ) Ravnateljstva civilne zaštite Ministarstva unutarnjih poslova</w:t>
      </w:r>
      <w:r w:rsidR="00746B45">
        <w:rPr>
          <w:sz w:val="22"/>
          <w:szCs w:val="22"/>
        </w:rPr>
        <w:t>.</w:t>
      </w:r>
    </w:p>
    <w:tbl>
      <w:tblPr>
        <w:tblpPr w:leftFromText="180" w:rightFromText="180" w:vertAnchor="page" w:horzAnchor="margin" w:tblpXSpec="center" w:tblpY="5836"/>
        <w:tblW w:w="14503" w:type="dxa"/>
        <w:jc w:val="center"/>
        <w:tblLook w:val="04A0" w:firstRow="1" w:lastRow="0" w:firstColumn="1" w:lastColumn="0" w:noHBand="0" w:noVBand="1"/>
      </w:tblPr>
      <w:tblGrid>
        <w:gridCol w:w="469"/>
        <w:gridCol w:w="2360"/>
        <w:gridCol w:w="1793"/>
        <w:gridCol w:w="1543"/>
        <w:gridCol w:w="637"/>
        <w:gridCol w:w="637"/>
        <w:gridCol w:w="581"/>
        <w:gridCol w:w="581"/>
        <w:gridCol w:w="581"/>
        <w:gridCol w:w="581"/>
        <w:gridCol w:w="581"/>
        <w:gridCol w:w="590"/>
        <w:gridCol w:w="581"/>
        <w:gridCol w:w="600"/>
        <w:gridCol w:w="581"/>
        <w:gridCol w:w="581"/>
        <w:gridCol w:w="581"/>
        <w:gridCol w:w="645"/>
      </w:tblGrid>
      <w:tr w:rsidR="00FA0187" w:rsidRPr="00FD0806" w:rsidTr="00FA0187">
        <w:trPr>
          <w:trHeight w:val="30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5EA" w:rsidRPr="00FD0806" w:rsidRDefault="003238DB" w:rsidP="00A7186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Br</w:t>
            </w:r>
            <w:r w:rsidR="00D135EA"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Naziv i lokacija nadziranog operatera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 Datum nadzora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Djelatnost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IZO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VOD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ZOP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SAN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EL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OPT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ZNR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RUD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VET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POLJ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STO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ICZ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PRI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35EA" w:rsidRPr="00FD0806" w:rsidRDefault="00D135EA" w:rsidP="00A7186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IGOK</w:t>
            </w:r>
          </w:p>
        </w:tc>
      </w:tr>
      <w:tr w:rsidR="00C3488F" w:rsidRPr="00FD0806" w:rsidTr="00C3488F">
        <w:trPr>
          <w:trHeight w:val="764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8F" w:rsidRPr="009543D1" w:rsidRDefault="00C3488F" w:rsidP="004D1FA3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9543D1">
              <w:rPr>
                <w:rFonts w:ascii="Calibri" w:hAnsi="Calibri"/>
                <w:sz w:val="22"/>
                <w:szCs w:val="22"/>
              </w:rPr>
              <w:t>FARMA MARIJANČANKA</w:t>
            </w:r>
          </w:p>
          <w:p w:rsidR="00C3488F" w:rsidRPr="00130D6F" w:rsidRDefault="00C3488F" w:rsidP="004D1FA3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30D6F">
              <w:rPr>
                <w:rFonts w:ascii="Calibri" w:hAnsi="Calibri"/>
                <w:sz w:val="22"/>
                <w:szCs w:val="22"/>
              </w:rPr>
              <w:t>Marijanci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88F" w:rsidRPr="00176961" w:rsidRDefault="00C3488F" w:rsidP="009543D1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30.9. - 4.10.2019.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8F" w:rsidRPr="00605C87" w:rsidRDefault="00C3488F" w:rsidP="004D1FA3">
            <w:pPr>
              <w:spacing w:after="0"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605C87">
              <w:rPr>
                <w:rFonts w:eastAsia="Times New Roman" w:cs="Times New Roman"/>
                <w:sz w:val="22"/>
                <w:szCs w:val="22"/>
                <w:lang w:eastAsia="hr-HR"/>
              </w:rPr>
              <w:t>6.6. (a)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3488F" w:rsidRPr="00FD0806" w:rsidRDefault="001B243B" w:rsidP="00176961">
            <w:pPr>
              <w:spacing w:after="0" w:line="240" w:lineRule="auto"/>
              <w:contextualSpacing/>
              <w:jc w:val="center"/>
              <w:rPr>
                <w:sz w:val="24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3488F" w:rsidRPr="007453EA" w:rsidRDefault="00C3488F" w:rsidP="00237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3488F" w:rsidRPr="007453EA" w:rsidRDefault="001B243B" w:rsidP="00237A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3488F" w:rsidRPr="00176961" w:rsidRDefault="001B243B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88F" w:rsidRPr="00FD0806" w:rsidRDefault="00C3488F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176961" w:rsidRPr="00FD0806" w:rsidTr="00C3488F">
        <w:trPr>
          <w:trHeight w:val="637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61" w:rsidRPr="00FD0806" w:rsidRDefault="00176961" w:rsidP="00176961">
            <w:p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61" w:rsidRPr="00130D6F" w:rsidRDefault="00C3488F" w:rsidP="004D1FA3">
            <w:pPr>
              <w:spacing w:after="0" w:line="240" w:lineRule="auto"/>
              <w:contextualSpacing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130D6F">
              <w:rPr>
                <w:color w:val="000000"/>
                <w:sz w:val="22"/>
                <w:szCs w:val="22"/>
              </w:rPr>
              <w:t xml:space="preserve">INA d.d. Objekt prerade plina </w:t>
            </w:r>
            <w:proofErr w:type="spellStart"/>
            <w:r w:rsidRPr="00130D6F">
              <w:rPr>
                <w:color w:val="000000"/>
                <w:sz w:val="22"/>
                <w:szCs w:val="22"/>
              </w:rPr>
              <w:t>Molve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61" w:rsidRPr="009543D1" w:rsidRDefault="00C3488F" w:rsidP="004D1FA3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30.9. - 4.10.2019.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605C87" w:rsidRDefault="00BA1516" w:rsidP="004D1FA3">
            <w:pPr>
              <w:spacing w:after="0" w:line="240" w:lineRule="auto"/>
              <w:contextualSpacing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1.2.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176961" w:rsidRPr="008C1F5F" w:rsidRDefault="00C3488F" w:rsidP="00130D6F">
            <w:pPr>
              <w:spacing w:after="0" w:line="240" w:lineRule="auto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176961" w:rsidRPr="001650F7" w:rsidRDefault="00C3488F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30D6F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</w:tr>
      <w:tr w:rsidR="00176961" w:rsidRPr="00FD0806" w:rsidTr="00C3488F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61" w:rsidRPr="00FD0806" w:rsidRDefault="00176961" w:rsidP="0017696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61" w:rsidRPr="00130D6F" w:rsidRDefault="009543D1" w:rsidP="004D1FA3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color w:val="000000"/>
                <w:sz w:val="22"/>
                <w:szCs w:val="22"/>
              </w:rPr>
              <w:t>Ž</w:t>
            </w:r>
            <w:r w:rsidR="00C3488F" w:rsidRPr="00130D6F">
              <w:rPr>
                <w:color w:val="000000"/>
                <w:sz w:val="22"/>
                <w:szCs w:val="22"/>
              </w:rPr>
              <w:t>ITO d.o.o. farma svinja Velika Branjevina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961" w:rsidRPr="00176961" w:rsidRDefault="00C3488F" w:rsidP="004D1FA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7. - 11.10.2019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605C87" w:rsidRDefault="00C3488F" w:rsidP="004D1FA3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6.6. (b) i ( c )</w:t>
            </w:r>
            <w:r w:rsidRPr="00605C87">
              <w:rPr>
                <w:rFonts w:eastAsia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D84860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D84860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D84860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D84860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D84860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highlight w:val="yellow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6961" w:rsidRPr="001650F7" w:rsidRDefault="00176961" w:rsidP="00176961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</w:tr>
      <w:tr w:rsidR="00A1450A" w:rsidRPr="00FD0806" w:rsidTr="000F5D5E">
        <w:trPr>
          <w:trHeight w:val="57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4A734D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130D6F">
              <w:rPr>
                <w:rFonts w:ascii="Calibri" w:hAnsi="Calibri"/>
                <w:color w:val="000000"/>
                <w:sz w:val="22"/>
                <w:szCs w:val="22"/>
              </w:rPr>
              <w:t>ROCKWOOL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130D6F">
              <w:rPr>
                <w:rFonts w:ascii="Calibri" w:hAnsi="Calibri"/>
                <w:color w:val="000000"/>
                <w:sz w:val="22"/>
                <w:szCs w:val="22"/>
              </w:rPr>
              <w:t xml:space="preserve"> ADRIATIC d.o.o. </w:t>
            </w:r>
            <w:proofErr w:type="spellStart"/>
            <w:r w:rsidRPr="00130D6F">
              <w:rPr>
                <w:rFonts w:ascii="Calibri" w:hAnsi="Calibri"/>
                <w:color w:val="000000"/>
                <w:sz w:val="22"/>
                <w:szCs w:val="22"/>
              </w:rPr>
              <w:t>Potpićan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9543D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 - 11.10.2019.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605C87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2"/>
                <w:szCs w:val="22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</w:tr>
      <w:tr w:rsidR="00A1450A" w:rsidRPr="00FD0806" w:rsidTr="006E2300">
        <w:trPr>
          <w:trHeight w:val="783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130D6F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130D6F">
              <w:rPr>
                <w:color w:val="000000"/>
                <w:sz w:val="22"/>
                <w:szCs w:val="22"/>
              </w:rPr>
              <w:t>BELJE plus d.o.o.   farma KOZARAC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176961" w:rsidRDefault="00A1450A" w:rsidP="00A1450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14 .- 18.10.2019.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605C87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6.6. (b)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</w:tr>
      <w:tr w:rsidR="00A1450A" w:rsidRPr="00FD0806" w:rsidTr="00D14FFA">
        <w:trPr>
          <w:trHeight w:val="49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0A" w:rsidRPr="00FD0806" w:rsidRDefault="00A1450A" w:rsidP="00A1450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0A" w:rsidRPr="00130D6F" w:rsidRDefault="00A1450A" w:rsidP="00A1450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30D6F">
              <w:rPr>
                <w:rFonts w:ascii="Calibri" w:hAnsi="Calibri"/>
                <w:color w:val="000000"/>
                <w:sz w:val="22"/>
                <w:szCs w:val="22"/>
              </w:rPr>
              <w:t xml:space="preserve">INA MAZIVA d.o.o. </w:t>
            </w:r>
            <w:r w:rsidRPr="00130D6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  <w:t>Zagreb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0A" w:rsidRPr="00176961" w:rsidRDefault="00A1450A" w:rsidP="00A1450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hr-HR"/>
              </w:rPr>
              <w:t>14 .- 18.10.2019.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9543D1" w:rsidRDefault="00A1450A" w:rsidP="00A1450A">
            <w:pPr>
              <w:pStyle w:val="Odlomakpopisa2"/>
              <w:spacing w:after="240"/>
              <w:ind w:left="0"/>
              <w:jc w:val="both"/>
              <w:rPr>
                <w:rFonts w:asciiTheme="minorHAnsi" w:hAnsiTheme="minorHAnsi" w:cs="Arial"/>
                <w:bCs/>
                <w:kern w:val="32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kern w:val="32"/>
                <w:sz w:val="22"/>
                <w:szCs w:val="22"/>
              </w:rPr>
              <w:t>5.1</w:t>
            </w:r>
            <w:r w:rsidRPr="00DE71A7">
              <w:rPr>
                <w:rFonts w:asciiTheme="minorHAnsi" w:hAnsiTheme="minorHAnsi" w:cs="Arial"/>
                <w:bCs/>
                <w:kern w:val="32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="Arial"/>
                <w:bCs/>
                <w:kern w:val="32"/>
                <w:sz w:val="22"/>
                <w:szCs w:val="22"/>
              </w:rPr>
              <w:t>(b) i (j), 5.5.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650F7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2"/>
                <w:szCs w:val="22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650F7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1450A" w:rsidRPr="00FD0806" w:rsidTr="00936005">
        <w:trPr>
          <w:trHeight w:val="70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lastRenderedPageBreak/>
              <w:t>Br.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Naziv i lokacija nadziranog operatera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 Datum nadzora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Djelatnost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IZO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VOD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ZOP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SAN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EL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OPT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ZNR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RUD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VET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POLJ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STO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ICZ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PRI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IGOK</w:t>
            </w:r>
          </w:p>
        </w:tc>
      </w:tr>
      <w:tr w:rsidR="00A1450A" w:rsidRPr="00FD0806" w:rsidTr="00D14FFA">
        <w:trPr>
          <w:trHeight w:val="77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FD0806" w:rsidRDefault="00A1450A" w:rsidP="00A1450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AGROPROTEINKA d.d.</w:t>
            </w:r>
          </w:p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 xml:space="preserve">Sesvetski </w:t>
            </w:r>
            <w:proofErr w:type="spellStart"/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Kraljevec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 - 25.10.2019.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9543D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6.5.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FD0806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A1450A" w:rsidRPr="00FD0806" w:rsidTr="004B7BE4">
        <w:trPr>
          <w:trHeight w:val="67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PERFA - BIO d.o.o.</w:t>
            </w:r>
          </w:p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Donja Stubica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21. - 25.10.2019.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9543D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6.6.a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AD022E">
        <w:trPr>
          <w:trHeight w:val="605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D14FFA">
              <w:rPr>
                <w:rFonts w:eastAsia="Times New Roman" w:cs="Times New Roman"/>
                <w:sz w:val="22"/>
                <w:szCs w:val="22"/>
                <w:lang w:eastAsia="hr-HR"/>
              </w:rPr>
              <w:t>Tvornica stočne hrane KOKA d.d.</w:t>
            </w: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, Varaždin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 - 31.10.2019.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9543D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6.4. b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62125F">
        <w:trPr>
          <w:trHeight w:val="717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4A734D" w:rsidRDefault="00A1450A" w:rsidP="00A1450A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Tvornica šećera Osijek d.o.o.,  Osijek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28. - 31.10.2019.</w:t>
            </w:r>
          </w:p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9543D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6.4. b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62125F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62125F" w:rsidRDefault="004B7BE4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1"/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C364A5">
        <w:trPr>
          <w:trHeight w:val="825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86008A">
              <w:rPr>
                <w:rFonts w:eastAsia="Times New Roman" w:cs="Times New Roman"/>
                <w:sz w:val="22"/>
                <w:szCs w:val="22"/>
                <w:lang w:eastAsia="hr-HR"/>
              </w:rPr>
              <w:t>BELJE d.d. - farma GRADEC</w:t>
            </w: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, Gradec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08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6008A"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6008A">
              <w:rPr>
                <w:rFonts w:ascii="Calibri" w:hAnsi="Calibri"/>
                <w:color w:val="000000"/>
                <w:sz w:val="22"/>
                <w:szCs w:val="22"/>
              </w:rPr>
              <w:t>8.11.2019.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9543D1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6.6. </w:t>
            </w: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(b) i ( c )</w:t>
            </w:r>
            <w:r w:rsidRPr="00605C87">
              <w:rPr>
                <w:rFonts w:eastAsia="Times New Roman" w:cs="Times New Roman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C364A5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C364A5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b/>
                <w:bCs/>
                <w:color w:val="000000"/>
                <w:lang w:eastAsia="hr-HR"/>
              </w:rPr>
              <w:sym w:font="Wingdings 2" w:char="F052"/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4E2620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4A734D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KNAUF INSULATION d.o.o., Novi Marof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86008A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6008A"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86008A">
              <w:rPr>
                <w:rFonts w:ascii="Calibri" w:hAnsi="Calibri"/>
                <w:color w:val="000000"/>
                <w:sz w:val="22"/>
                <w:szCs w:val="22"/>
              </w:rPr>
              <w:t>8.11.2019.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F53CD4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333183" w:rsidRDefault="004E2620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4"/>
                <w:szCs w:val="24"/>
                <w:highlight w:val="green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333183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333183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822FBC">
        <w:trPr>
          <w:trHeight w:val="519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TUP d.d. </w:t>
            </w:r>
          </w:p>
          <w:p w:rsidR="00A1450A" w:rsidRPr="004A734D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Dubrovnik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 -  8.11.2019.</w:t>
            </w:r>
          </w:p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605C87" w:rsidRDefault="00033242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6.8.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822FBC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822FBC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green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7A19ED">
        <w:trPr>
          <w:trHeight w:val="61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FD0806" w:rsidRDefault="00A1450A" w:rsidP="00A1450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BIOPLINSKO POSTROJENJE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Orlovnjak</w:t>
            </w:r>
            <w:proofErr w:type="spellEnd"/>
          </w:p>
          <w:p w:rsidR="00A1450A" w:rsidRPr="004D1FA3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Antunovac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  - 15.11.2019.</w:t>
            </w:r>
          </w:p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7A19ED" w:rsidRDefault="007A19ED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7A19ED">
              <w:rPr>
                <w:rFonts w:eastAsia="Times New Roman" w:cs="Times New Roman"/>
                <w:sz w:val="22"/>
                <w:szCs w:val="22"/>
                <w:lang w:eastAsia="hr-HR"/>
              </w:rPr>
              <w:t>5.3.b</w:t>
            </w: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 xml:space="preserve"> </w:t>
            </w:r>
            <w:r w:rsidRPr="007A19ED">
              <w:rPr>
                <w:rFonts w:eastAsia="Times New Roman" w:cs="Times New Roman"/>
                <w:sz w:val="22"/>
                <w:szCs w:val="22"/>
                <w:lang w:eastAsia="hr-HR"/>
              </w:rPr>
              <w:t>(i)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7A19ED" w:rsidRDefault="0035161A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307556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B57FA5">
        <w:trPr>
          <w:trHeight w:val="70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4A734D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IMPOL TLM d.o.o. Šibenik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  - 15.11.2019.</w:t>
            </w:r>
          </w:p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605C87" w:rsidRDefault="00033242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35161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35161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AD601C">
              <w:rPr>
                <w:rFonts w:ascii="Wingdings 2" w:eastAsia="Times New Roman" w:hAnsi="Wingdings 2" w:cs="Times New Roman"/>
                <w:color w:val="000000"/>
                <w:highlight w:val="red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AD601C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highlight w:val="red"/>
                <w:lang w:eastAsia="hr-HR"/>
              </w:rPr>
            </w:pPr>
            <w:r w:rsidRPr="00AD601C">
              <w:rPr>
                <w:rFonts w:ascii="Wingdings 2" w:eastAsia="Times New Roman" w:hAnsi="Wingdings 2" w:cs="Times New Roman"/>
                <w:color w:val="000000"/>
                <w:highlight w:val="red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FD0806" w:rsidTr="00333183">
        <w:trPr>
          <w:trHeight w:val="958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C36F2B" w:rsidRDefault="00A1450A" w:rsidP="00A1450A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 w:rsidRPr="00C36F2B">
              <w:rPr>
                <w:rFonts w:ascii="Calibri" w:hAnsi="Calibri"/>
                <w:sz w:val="22"/>
                <w:szCs w:val="22"/>
              </w:rPr>
              <w:t>OBRT PETRINJAK FARMA</w:t>
            </w:r>
          </w:p>
          <w:p w:rsidR="00A1450A" w:rsidRPr="00C36F2B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proofErr w:type="spellStart"/>
            <w:r w:rsidRPr="00C36F2B">
              <w:rPr>
                <w:rFonts w:eastAsia="Times New Roman" w:cs="Times New Roman"/>
                <w:sz w:val="22"/>
                <w:szCs w:val="22"/>
                <w:lang w:eastAsia="hr-HR"/>
              </w:rPr>
              <w:t>Horvatsko</w:t>
            </w:r>
            <w:proofErr w:type="spellEnd"/>
            <w:r w:rsidRPr="00C36F2B">
              <w:rPr>
                <w:rFonts w:eastAsia="Times New Roman" w:cs="Times New Roman"/>
                <w:sz w:val="22"/>
                <w:szCs w:val="22"/>
                <w:lang w:eastAsia="hr-HR"/>
              </w:rPr>
              <w:t>, Ivanec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Default="00A1450A" w:rsidP="00A1450A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11.  - 15.11.2019.</w:t>
            </w:r>
          </w:p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605C87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6.6. (a)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4E2620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176961" w:rsidTr="00D77F35">
        <w:trPr>
          <w:trHeight w:val="72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C36F2B" w:rsidRDefault="00A1450A" w:rsidP="00A1450A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PLIVA HRVATSKA d.o.o. Postrojenje Savski Marof, Pri</w:t>
            </w:r>
            <w:r w:rsidRPr="00C36F2B">
              <w:rPr>
                <w:rFonts w:eastAsia="Times New Roman" w:cs="Times New Roman"/>
                <w:sz w:val="22"/>
                <w:szCs w:val="22"/>
                <w:lang w:eastAsia="hr-HR"/>
              </w:rPr>
              <w:t>gorje Brdovečko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05C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r w:rsidRPr="005105CF">
              <w:rPr>
                <w:rFonts w:ascii="Calibri" w:hAnsi="Calibri"/>
                <w:color w:val="000000"/>
                <w:sz w:val="22"/>
                <w:szCs w:val="22"/>
              </w:rPr>
              <w:t xml:space="preserve"> - 22.11.2019.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605C87" w:rsidRDefault="00A1450A" w:rsidP="00A1450A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4.5.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E75AF2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A1450A" w:rsidRPr="00176961" w:rsidRDefault="00E75AF2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50A" w:rsidRPr="00176961" w:rsidRDefault="00A1450A" w:rsidP="00A1450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1450A" w:rsidRPr="00176961" w:rsidTr="007E7FD1">
        <w:trPr>
          <w:trHeight w:val="48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lastRenderedPageBreak/>
              <w:t>Br.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Naziv i lokacija nadziranog operatera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 Datum nadzora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Djelatnost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IZO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VOD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ZOP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SAN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EL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OPT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ZNR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RUD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VET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POLJ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STO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ICZ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PRI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450A" w:rsidRPr="00FD0806" w:rsidRDefault="00A1450A" w:rsidP="00A1450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FD0806">
              <w:rPr>
                <w:rFonts w:eastAsia="Times New Roman" w:cs="Times New Roman"/>
                <w:sz w:val="20"/>
                <w:szCs w:val="20"/>
                <w:lang w:eastAsia="hr-HR"/>
              </w:rPr>
              <w:t>IGOK</w:t>
            </w:r>
          </w:p>
        </w:tc>
      </w:tr>
      <w:tr w:rsidR="00ED058D" w:rsidRPr="00176961" w:rsidTr="009D4733">
        <w:trPr>
          <w:trHeight w:val="48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8D" w:rsidRPr="00FD0806" w:rsidRDefault="00ED058D" w:rsidP="00ED058D">
            <w:pPr>
              <w:spacing w:after="0" w:line="240" w:lineRule="auto"/>
              <w:ind w:left="-142"/>
              <w:jc w:val="center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8D" w:rsidRDefault="00ED058D" w:rsidP="00ED058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 PLASTIK</w:t>
            </w:r>
          </w:p>
          <w:p w:rsidR="00ED058D" w:rsidRPr="00C36F2B" w:rsidRDefault="00ED058D" w:rsidP="00ED058D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36F2B">
              <w:rPr>
                <w:color w:val="000000"/>
                <w:sz w:val="22"/>
                <w:szCs w:val="22"/>
              </w:rPr>
              <w:t>Zagreb</w:t>
            </w:r>
          </w:p>
          <w:p w:rsidR="00ED058D" w:rsidRPr="00FD0806" w:rsidRDefault="00ED058D" w:rsidP="00ED058D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8D" w:rsidRPr="00176961" w:rsidRDefault="00ED058D" w:rsidP="00ED058D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5105CF"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5105CF">
              <w:rPr>
                <w:rFonts w:ascii="Calibri" w:hAnsi="Calibri"/>
                <w:color w:val="000000"/>
                <w:sz w:val="22"/>
                <w:szCs w:val="22"/>
              </w:rPr>
              <w:t xml:space="preserve"> - 22.11.2019.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8D" w:rsidRPr="00FD0806" w:rsidRDefault="00033242" w:rsidP="00ED058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6.7.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ED058D" w:rsidRPr="00176961" w:rsidRDefault="00E75AF2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8D" w:rsidRPr="00176961" w:rsidRDefault="00ED058D" w:rsidP="00ED058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C1388" w:rsidRPr="00176961" w:rsidTr="00333183">
        <w:trPr>
          <w:trHeight w:val="70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388" w:rsidRPr="00FD0806" w:rsidRDefault="00CC1388" w:rsidP="00CC1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88" w:rsidRPr="00FD0806" w:rsidRDefault="00CC1388" w:rsidP="00CC138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 w:rsidRPr="005105CF">
              <w:rPr>
                <w:rFonts w:eastAsia="Times New Roman" w:cs="Times New Roman"/>
                <w:sz w:val="22"/>
                <w:szCs w:val="22"/>
                <w:lang w:eastAsia="hr-HR"/>
              </w:rPr>
              <w:t>HARTMANN d.o.o.</w:t>
            </w: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 xml:space="preserve"> Koprivnica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88" w:rsidRPr="00176961" w:rsidRDefault="00CC1388" w:rsidP="00CC1388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 - 29.11.2019.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605C87" w:rsidRDefault="00033242" w:rsidP="00CC1388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eastAsia="Times New Roman" w:cs="Times New Roman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C1388" w:rsidRPr="00176961" w:rsidRDefault="00E75AF2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  <w:bookmarkStart w:id="0" w:name="_GoBack"/>
            <w:bookmarkEnd w:id="0"/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CC1388" w:rsidRPr="00176961" w:rsidTr="001627CD">
        <w:trPr>
          <w:trHeight w:val="600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388" w:rsidRPr="00FD0806" w:rsidRDefault="00CC1388" w:rsidP="00CC138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eastAsia="Times New Roman" w:cs="Times New Roman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88" w:rsidRPr="00C36F2B" w:rsidRDefault="00CC1388" w:rsidP="00CC1388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C36F2B">
              <w:rPr>
                <w:color w:val="000000"/>
                <w:sz w:val="22"/>
                <w:szCs w:val="22"/>
              </w:rPr>
              <w:t xml:space="preserve">PETROKEMIJA d.d. Kutina </w:t>
            </w:r>
          </w:p>
          <w:p w:rsidR="00CC1388" w:rsidRPr="00FD0806" w:rsidRDefault="00CC1388" w:rsidP="00CC138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hr-H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88" w:rsidRPr="00176961" w:rsidRDefault="00CC1388" w:rsidP="00CC1388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 - 29.11.2019.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3F5E22" w:rsidRDefault="00CC1388" w:rsidP="00CC1388">
            <w:pPr>
              <w:spacing w:after="0"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1.1. 4.2. i  4.3.</w:t>
            </w:r>
          </w:p>
          <w:p w:rsidR="00CC1388" w:rsidRPr="00605C87" w:rsidRDefault="00CC1388" w:rsidP="00CC1388">
            <w:pPr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sz w:val="22"/>
                <w:szCs w:val="22"/>
              </w:rPr>
              <w:t>5.4.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D059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7453EA">
              <w:rPr>
                <w:rFonts w:ascii="Wingdings 2" w:eastAsia="Times New Roman" w:hAnsi="Wingdings 2" w:cs="Times New Roman"/>
                <w:color w:val="000000"/>
                <w:lang w:eastAsia="hr-HR"/>
              </w:rPr>
              <w:sym w:font="Wingdings 2" w:char="F0DD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CC1388" w:rsidRPr="00176961" w:rsidRDefault="00F40B95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color w:val="92D050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388" w:rsidRPr="00176961" w:rsidRDefault="00CC1388" w:rsidP="00CC138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441021" w:rsidRDefault="00441021" w:rsidP="00481AE7"/>
    <w:p w:rsidR="00176961" w:rsidRDefault="00176961" w:rsidP="00481AE7"/>
    <w:tbl>
      <w:tblPr>
        <w:tblpPr w:leftFromText="180" w:rightFromText="180" w:vertAnchor="text" w:tblpY="1"/>
        <w:tblOverlap w:val="never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9384"/>
      </w:tblGrid>
      <w:tr w:rsidR="00FD0806" w:rsidRPr="00FD0806" w:rsidTr="00FA0BBF">
        <w:trPr>
          <w:trHeight w:val="661"/>
        </w:trPr>
        <w:tc>
          <w:tcPr>
            <w:tcW w:w="680" w:type="dxa"/>
            <w:shd w:val="clear" w:color="auto" w:fill="92D050"/>
          </w:tcPr>
          <w:p w:rsidR="00FD0806" w:rsidRPr="00FD0806" w:rsidRDefault="00FD0806" w:rsidP="00FA0BBF">
            <w:pPr>
              <w:spacing w:after="0"/>
              <w:ind w:right="-20"/>
              <w:rPr>
                <w:rFonts w:ascii="Times New Roman" w:hAnsi="Times New Roman" w:cs="Times New Roman"/>
              </w:rPr>
            </w:pPr>
          </w:p>
        </w:tc>
        <w:tc>
          <w:tcPr>
            <w:tcW w:w="9384" w:type="dxa"/>
            <w:shd w:val="clear" w:color="auto" w:fill="auto"/>
            <w:vAlign w:val="center"/>
          </w:tcPr>
          <w:p w:rsidR="00FD0806" w:rsidRPr="00FD0806" w:rsidRDefault="00FD0806" w:rsidP="00FA0BBF">
            <w:pPr>
              <w:spacing w:after="0"/>
              <w:ind w:right="-20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t xml:space="preserve"> Nadzorima  nisu utvrđene povrede propisa</w:t>
            </w:r>
          </w:p>
        </w:tc>
      </w:tr>
      <w:tr w:rsidR="00FD0806" w:rsidRPr="00FD0806" w:rsidTr="00FA0BBF">
        <w:trPr>
          <w:trHeight w:val="63"/>
        </w:trPr>
        <w:tc>
          <w:tcPr>
            <w:tcW w:w="680" w:type="dxa"/>
            <w:shd w:val="clear" w:color="auto" w:fill="FF0000"/>
            <w:vAlign w:val="center"/>
          </w:tcPr>
          <w:p w:rsidR="00FD0806" w:rsidRPr="00FD0806" w:rsidRDefault="00FD0806" w:rsidP="00FA0BBF">
            <w:pPr>
              <w:shd w:val="clear" w:color="auto" w:fill="FF0000"/>
              <w:tabs>
                <w:tab w:val="center" w:pos="381"/>
              </w:tabs>
              <w:spacing w:after="0"/>
              <w:ind w:left="41" w:right="-20" w:hanging="41"/>
              <w:jc w:val="center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sym w:font="Wingdings 2" w:char="F0DD"/>
            </w:r>
          </w:p>
        </w:tc>
        <w:tc>
          <w:tcPr>
            <w:tcW w:w="9384" w:type="dxa"/>
            <w:shd w:val="clear" w:color="auto" w:fill="auto"/>
            <w:vAlign w:val="center"/>
          </w:tcPr>
          <w:p w:rsidR="00FD0806" w:rsidRPr="00FD0806" w:rsidRDefault="00FD0806" w:rsidP="00FA0BB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t>Nadzorima su utvrđene povrede propisa (izdano rješenje ili zapisnički naređene mjere)</w:t>
            </w:r>
          </w:p>
          <w:p w:rsidR="00FD0806" w:rsidRPr="00FD0806" w:rsidRDefault="00FD0806" w:rsidP="00FA0BBF">
            <w:pPr>
              <w:spacing w:after="0"/>
              <w:ind w:right="57"/>
              <w:rPr>
                <w:rFonts w:ascii="Times New Roman" w:hAnsi="Times New Roman" w:cs="Times New Roman"/>
                <w:i/>
                <w:u w:val="single"/>
              </w:rPr>
            </w:pPr>
            <w:r w:rsidRPr="00FD0806">
              <w:rPr>
                <w:rFonts w:ascii="Times New Roman" w:hAnsi="Times New Roman" w:cs="Times New Roman"/>
                <w:i/>
                <w:u w:val="single"/>
              </w:rPr>
              <w:t>kontrolni nadzor nije obavljen ili je stranka još u ostavljenom roku</w:t>
            </w:r>
          </w:p>
        </w:tc>
      </w:tr>
      <w:tr w:rsidR="00FD0806" w:rsidRPr="00FD0806" w:rsidTr="00FA0BBF">
        <w:trPr>
          <w:trHeight w:val="616"/>
        </w:trPr>
        <w:tc>
          <w:tcPr>
            <w:tcW w:w="680" w:type="dxa"/>
            <w:shd w:val="clear" w:color="auto" w:fill="FF0000"/>
            <w:vAlign w:val="center"/>
          </w:tcPr>
          <w:p w:rsidR="00FD0806" w:rsidRPr="00FD0806" w:rsidRDefault="00FD0806" w:rsidP="00FA0BBF">
            <w:pPr>
              <w:shd w:val="clear" w:color="auto" w:fill="FF0000"/>
              <w:tabs>
                <w:tab w:val="center" w:pos="381"/>
              </w:tabs>
              <w:spacing w:after="0"/>
              <w:ind w:left="41" w:right="-20" w:hanging="41"/>
              <w:jc w:val="center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2"/>
            </w:r>
          </w:p>
        </w:tc>
        <w:tc>
          <w:tcPr>
            <w:tcW w:w="9384" w:type="dxa"/>
            <w:shd w:val="clear" w:color="auto" w:fill="auto"/>
            <w:vAlign w:val="center"/>
          </w:tcPr>
          <w:p w:rsidR="00FD0806" w:rsidRPr="00FD0806" w:rsidRDefault="00FD0806" w:rsidP="00FA0BB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t xml:space="preserve">Nadzorima su utvrđene povrede propisa, </w:t>
            </w:r>
            <w:r w:rsidRPr="00FD0806">
              <w:rPr>
                <w:rFonts w:ascii="Times New Roman" w:hAnsi="Times New Roman" w:cs="Times New Roman"/>
                <w:i/>
                <w:u w:val="single"/>
              </w:rPr>
              <w:t>ali su nepravilnosti otklonjene</w:t>
            </w:r>
            <w:r w:rsidRPr="00FD0806">
              <w:rPr>
                <w:rFonts w:ascii="Times New Roman" w:hAnsi="Times New Roman" w:cs="Times New Roman"/>
              </w:rPr>
              <w:t xml:space="preserve"> – utvrđeno u kontrolnom nadzoru</w:t>
            </w:r>
          </w:p>
        </w:tc>
      </w:tr>
      <w:tr w:rsidR="00FD0806" w:rsidRPr="00FD0806" w:rsidTr="00FA0BBF">
        <w:trPr>
          <w:trHeight w:val="567"/>
        </w:trPr>
        <w:tc>
          <w:tcPr>
            <w:tcW w:w="680" w:type="dxa"/>
            <w:shd w:val="clear" w:color="auto" w:fill="FF0000"/>
            <w:vAlign w:val="center"/>
          </w:tcPr>
          <w:p w:rsidR="00FD0806" w:rsidRPr="00FD0806" w:rsidRDefault="00FD0806" w:rsidP="00FA0BBF">
            <w:pPr>
              <w:spacing w:after="0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FD0806">
              <w:rPr>
                <w:rFonts w:ascii="Times New Roman" w:hAnsi="Times New Roman" w:cs="Times New Roman"/>
                <w:b/>
              </w:rPr>
              <w:sym w:font="Wingdings 2" w:char="F051"/>
            </w:r>
          </w:p>
        </w:tc>
        <w:tc>
          <w:tcPr>
            <w:tcW w:w="9384" w:type="dxa"/>
            <w:shd w:val="clear" w:color="auto" w:fill="auto"/>
            <w:vAlign w:val="center"/>
          </w:tcPr>
          <w:p w:rsidR="00FD0806" w:rsidRPr="00FD0806" w:rsidRDefault="00FD0806" w:rsidP="00FA0BBF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t xml:space="preserve">Nadzorima su utvrđene povrede propisa, </w:t>
            </w:r>
            <w:r w:rsidRPr="00FD0806">
              <w:rPr>
                <w:rFonts w:ascii="Times New Roman" w:hAnsi="Times New Roman" w:cs="Times New Roman"/>
                <w:i/>
                <w:u w:val="single"/>
              </w:rPr>
              <w:t>ali nepravilnosti nisu otklonjene</w:t>
            </w:r>
            <w:r w:rsidRPr="00FD0806">
              <w:rPr>
                <w:rFonts w:ascii="Times New Roman" w:hAnsi="Times New Roman" w:cs="Times New Roman"/>
              </w:rPr>
              <w:t xml:space="preserve"> – utvrđeno u kontrolnom nadzoru</w:t>
            </w:r>
          </w:p>
        </w:tc>
      </w:tr>
      <w:tr w:rsidR="00FD0806" w:rsidRPr="00FD0806" w:rsidTr="00FA0BBF">
        <w:trPr>
          <w:trHeight w:val="547"/>
        </w:trPr>
        <w:tc>
          <w:tcPr>
            <w:tcW w:w="680" w:type="dxa"/>
            <w:shd w:val="clear" w:color="auto" w:fill="A6A6A6"/>
          </w:tcPr>
          <w:p w:rsidR="00FD0806" w:rsidRPr="00FD0806" w:rsidRDefault="00FD0806" w:rsidP="00FA0BBF">
            <w:pPr>
              <w:spacing w:after="0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4" w:type="dxa"/>
            <w:shd w:val="clear" w:color="auto" w:fill="auto"/>
            <w:vAlign w:val="center"/>
          </w:tcPr>
          <w:p w:rsidR="00FD0806" w:rsidRPr="00FD0806" w:rsidRDefault="00FD0806" w:rsidP="00FA0BBF">
            <w:pPr>
              <w:spacing w:after="0"/>
              <w:ind w:right="-20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t xml:space="preserve">Koordinirani nadzor je proveden, ali nije dostavljen izvještaj </w:t>
            </w:r>
          </w:p>
        </w:tc>
      </w:tr>
      <w:tr w:rsidR="00FD0806" w:rsidRPr="00FD0806" w:rsidTr="00FA0BBF">
        <w:trPr>
          <w:trHeight w:val="569"/>
        </w:trPr>
        <w:tc>
          <w:tcPr>
            <w:tcW w:w="680" w:type="dxa"/>
            <w:shd w:val="clear" w:color="auto" w:fill="00B0F0"/>
          </w:tcPr>
          <w:p w:rsidR="00FD0806" w:rsidRPr="00FD0806" w:rsidRDefault="00FD0806" w:rsidP="00FA0BBF">
            <w:pPr>
              <w:spacing w:after="0"/>
              <w:ind w:righ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4" w:type="dxa"/>
            <w:shd w:val="clear" w:color="auto" w:fill="auto"/>
            <w:vAlign w:val="center"/>
          </w:tcPr>
          <w:p w:rsidR="00FD0806" w:rsidRPr="00FD0806" w:rsidRDefault="00FD0806" w:rsidP="00FA0BBF">
            <w:pPr>
              <w:spacing w:after="0"/>
              <w:ind w:right="-20"/>
              <w:rPr>
                <w:rFonts w:ascii="Times New Roman" w:hAnsi="Times New Roman" w:cs="Times New Roman"/>
              </w:rPr>
            </w:pPr>
            <w:r w:rsidRPr="00FD0806">
              <w:rPr>
                <w:rFonts w:ascii="Times New Roman" w:hAnsi="Times New Roman" w:cs="Times New Roman"/>
              </w:rPr>
              <w:t>Koordinirani nadzor nije proveden</w:t>
            </w:r>
          </w:p>
        </w:tc>
      </w:tr>
    </w:tbl>
    <w:p w:rsidR="00FD0806" w:rsidRPr="00FD0806" w:rsidRDefault="00FD0806" w:rsidP="00481AE7"/>
    <w:sectPr w:rsidR="00FD0806" w:rsidRPr="00FD0806" w:rsidSect="009543D1">
      <w:footerReference w:type="default" r:id="rId8"/>
      <w:pgSz w:w="16838" w:h="11906" w:orient="landscape"/>
      <w:pgMar w:top="993" w:right="141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A2" w:rsidRDefault="00302FA2" w:rsidP="00383C67">
      <w:pPr>
        <w:spacing w:after="0" w:line="240" w:lineRule="auto"/>
      </w:pPr>
      <w:r>
        <w:separator/>
      </w:r>
    </w:p>
  </w:endnote>
  <w:endnote w:type="continuationSeparator" w:id="0">
    <w:p w:rsidR="00302FA2" w:rsidRDefault="00302FA2" w:rsidP="0038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67" w:rsidRPr="0029399F" w:rsidRDefault="00383C67" w:rsidP="00383C67">
    <w:pPr>
      <w:pStyle w:val="Tekstfusnote"/>
      <w:rPr>
        <w:lang w:val="hr-HR"/>
      </w:rPr>
    </w:pPr>
    <w:r w:rsidRPr="006B286C">
      <w:rPr>
        <w:vertAlign w:val="superscript"/>
      </w:rPr>
      <w:t>1</w:t>
    </w:r>
    <w:r>
      <w:rPr>
        <w:vertAlign w:val="superscript"/>
      </w:rPr>
      <w:t xml:space="preserve"> </w:t>
    </w:r>
    <w:r w:rsidRPr="0029399F">
      <w:t>Prema Uredbi o okolišnoj dozvoli NN br. 8/14</w:t>
    </w:r>
    <w:r w:rsidRPr="0029399F">
      <w:rPr>
        <w:lang w:val="hr-HR"/>
      </w:rPr>
      <w:t xml:space="preserve"> i 5/18</w:t>
    </w:r>
  </w:p>
  <w:p w:rsidR="00383C67" w:rsidRPr="00383C67" w:rsidRDefault="00383C67" w:rsidP="00383C67">
    <w:pPr>
      <w:pStyle w:val="Tekstfusnote"/>
      <w:rPr>
        <w:lang w:val="hr-HR"/>
      </w:rPr>
    </w:pPr>
    <w:r w:rsidRPr="0029399F">
      <w:rPr>
        <w:vertAlign w:val="superscript"/>
      </w:rPr>
      <w:t>2</w:t>
    </w:r>
    <w:r w:rsidRPr="0029399F">
      <w:t xml:space="preserve"> Prema Uredbi o sprječavanju velikih nesreća koje uključuju opasne tvari  NN br. 44/14</w:t>
    </w:r>
    <w:r w:rsidRPr="0029399F">
      <w:rPr>
        <w:lang w:val="hr-HR"/>
      </w:rPr>
      <w:t xml:space="preserve">, </w:t>
    </w:r>
    <w:r w:rsidR="00CD4C3E">
      <w:t>31/17 i 45/</w:t>
    </w:r>
    <w:r w:rsidRPr="00CD4C3E"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A2" w:rsidRDefault="00302FA2" w:rsidP="00383C67">
      <w:pPr>
        <w:spacing w:after="0" w:line="240" w:lineRule="auto"/>
      </w:pPr>
      <w:r>
        <w:separator/>
      </w:r>
    </w:p>
  </w:footnote>
  <w:footnote w:type="continuationSeparator" w:id="0">
    <w:p w:rsidR="00302FA2" w:rsidRDefault="00302FA2" w:rsidP="00383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E7"/>
    <w:rsid w:val="00005C55"/>
    <w:rsid w:val="000071CA"/>
    <w:rsid w:val="00023B2E"/>
    <w:rsid w:val="00033242"/>
    <w:rsid w:val="00034AE2"/>
    <w:rsid w:val="00042D48"/>
    <w:rsid w:val="0005488C"/>
    <w:rsid w:val="00055297"/>
    <w:rsid w:val="00057BF4"/>
    <w:rsid w:val="000604AB"/>
    <w:rsid w:val="0006185A"/>
    <w:rsid w:val="0007330F"/>
    <w:rsid w:val="00073656"/>
    <w:rsid w:val="00073A4E"/>
    <w:rsid w:val="00076368"/>
    <w:rsid w:val="000763A8"/>
    <w:rsid w:val="000800E2"/>
    <w:rsid w:val="00084BAD"/>
    <w:rsid w:val="00091F3D"/>
    <w:rsid w:val="0009243B"/>
    <w:rsid w:val="000930DF"/>
    <w:rsid w:val="000A750E"/>
    <w:rsid w:val="000B3661"/>
    <w:rsid w:val="000B4F34"/>
    <w:rsid w:val="000B59E7"/>
    <w:rsid w:val="000C0E03"/>
    <w:rsid w:val="000D1144"/>
    <w:rsid w:val="00100D44"/>
    <w:rsid w:val="00102129"/>
    <w:rsid w:val="0010351F"/>
    <w:rsid w:val="00105144"/>
    <w:rsid w:val="00110778"/>
    <w:rsid w:val="001269A2"/>
    <w:rsid w:val="00130D6F"/>
    <w:rsid w:val="0013672C"/>
    <w:rsid w:val="001437A7"/>
    <w:rsid w:val="00152248"/>
    <w:rsid w:val="001627CD"/>
    <w:rsid w:val="001639BF"/>
    <w:rsid w:val="001650F7"/>
    <w:rsid w:val="00171C3B"/>
    <w:rsid w:val="00175D3F"/>
    <w:rsid w:val="00176961"/>
    <w:rsid w:val="001861D3"/>
    <w:rsid w:val="001B243B"/>
    <w:rsid w:val="001B30F3"/>
    <w:rsid w:val="001C65D0"/>
    <w:rsid w:val="001D1A11"/>
    <w:rsid w:val="001D39C6"/>
    <w:rsid w:val="001D6CA5"/>
    <w:rsid w:val="001E160B"/>
    <w:rsid w:val="00206414"/>
    <w:rsid w:val="0020743A"/>
    <w:rsid w:val="002347B0"/>
    <w:rsid w:val="0023667F"/>
    <w:rsid w:val="0024011D"/>
    <w:rsid w:val="0025168C"/>
    <w:rsid w:val="00253981"/>
    <w:rsid w:val="002552C8"/>
    <w:rsid w:val="00266B20"/>
    <w:rsid w:val="0027218A"/>
    <w:rsid w:val="00272F94"/>
    <w:rsid w:val="00273FA0"/>
    <w:rsid w:val="00281008"/>
    <w:rsid w:val="00284E11"/>
    <w:rsid w:val="002A2450"/>
    <w:rsid w:val="002C3797"/>
    <w:rsid w:val="002D40EC"/>
    <w:rsid w:val="002D414A"/>
    <w:rsid w:val="002E7EB5"/>
    <w:rsid w:val="002F042A"/>
    <w:rsid w:val="002F32E2"/>
    <w:rsid w:val="00302357"/>
    <w:rsid w:val="00302FA2"/>
    <w:rsid w:val="00307556"/>
    <w:rsid w:val="00323613"/>
    <w:rsid w:val="003238DB"/>
    <w:rsid w:val="00333183"/>
    <w:rsid w:val="0034361D"/>
    <w:rsid w:val="003462B3"/>
    <w:rsid w:val="0035161A"/>
    <w:rsid w:val="00371B39"/>
    <w:rsid w:val="00383C67"/>
    <w:rsid w:val="003846BB"/>
    <w:rsid w:val="0038747B"/>
    <w:rsid w:val="003934A4"/>
    <w:rsid w:val="003D2E85"/>
    <w:rsid w:val="003D3A74"/>
    <w:rsid w:val="003D4EAC"/>
    <w:rsid w:val="003E11D7"/>
    <w:rsid w:val="003E33C3"/>
    <w:rsid w:val="003F3100"/>
    <w:rsid w:val="00406996"/>
    <w:rsid w:val="00417ED7"/>
    <w:rsid w:val="004246C7"/>
    <w:rsid w:val="004257FB"/>
    <w:rsid w:val="00441021"/>
    <w:rsid w:val="004707EB"/>
    <w:rsid w:val="00481AE7"/>
    <w:rsid w:val="00481D9B"/>
    <w:rsid w:val="004908C8"/>
    <w:rsid w:val="00490991"/>
    <w:rsid w:val="004931F4"/>
    <w:rsid w:val="004A28BA"/>
    <w:rsid w:val="004A734D"/>
    <w:rsid w:val="004B4CB4"/>
    <w:rsid w:val="004B7BE4"/>
    <w:rsid w:val="004D1FA3"/>
    <w:rsid w:val="004E2620"/>
    <w:rsid w:val="00506B9F"/>
    <w:rsid w:val="005105CF"/>
    <w:rsid w:val="00511B42"/>
    <w:rsid w:val="00517538"/>
    <w:rsid w:val="00517FA2"/>
    <w:rsid w:val="005270F7"/>
    <w:rsid w:val="0053471B"/>
    <w:rsid w:val="00575BFD"/>
    <w:rsid w:val="00575D79"/>
    <w:rsid w:val="005809A8"/>
    <w:rsid w:val="0058138E"/>
    <w:rsid w:val="00581AEB"/>
    <w:rsid w:val="005829DC"/>
    <w:rsid w:val="005852E0"/>
    <w:rsid w:val="005870FF"/>
    <w:rsid w:val="00592500"/>
    <w:rsid w:val="005951B7"/>
    <w:rsid w:val="005B5207"/>
    <w:rsid w:val="005D24C0"/>
    <w:rsid w:val="005D50EA"/>
    <w:rsid w:val="005D6BDE"/>
    <w:rsid w:val="005E7B37"/>
    <w:rsid w:val="005F6B13"/>
    <w:rsid w:val="00605C87"/>
    <w:rsid w:val="006134CC"/>
    <w:rsid w:val="00613D09"/>
    <w:rsid w:val="0062125F"/>
    <w:rsid w:val="00637E06"/>
    <w:rsid w:val="006733D3"/>
    <w:rsid w:val="00682391"/>
    <w:rsid w:val="0068367D"/>
    <w:rsid w:val="00687029"/>
    <w:rsid w:val="00696676"/>
    <w:rsid w:val="006A1601"/>
    <w:rsid w:val="006B711A"/>
    <w:rsid w:val="006C111B"/>
    <w:rsid w:val="006E2300"/>
    <w:rsid w:val="006E28D3"/>
    <w:rsid w:val="006F275B"/>
    <w:rsid w:val="007000F2"/>
    <w:rsid w:val="00717373"/>
    <w:rsid w:val="00721D92"/>
    <w:rsid w:val="00741422"/>
    <w:rsid w:val="00744716"/>
    <w:rsid w:val="00746B45"/>
    <w:rsid w:val="007512EA"/>
    <w:rsid w:val="0075782D"/>
    <w:rsid w:val="007811FE"/>
    <w:rsid w:val="00786290"/>
    <w:rsid w:val="007931A4"/>
    <w:rsid w:val="007A19ED"/>
    <w:rsid w:val="007A4BAF"/>
    <w:rsid w:val="007A7CDC"/>
    <w:rsid w:val="007B4CFF"/>
    <w:rsid w:val="007C41E6"/>
    <w:rsid w:val="007D0E29"/>
    <w:rsid w:val="007D36E0"/>
    <w:rsid w:val="007D7D57"/>
    <w:rsid w:val="007E0067"/>
    <w:rsid w:val="007E10D6"/>
    <w:rsid w:val="00804EEA"/>
    <w:rsid w:val="008072E8"/>
    <w:rsid w:val="00813E06"/>
    <w:rsid w:val="00822FBC"/>
    <w:rsid w:val="0082782F"/>
    <w:rsid w:val="00832FF4"/>
    <w:rsid w:val="008460F8"/>
    <w:rsid w:val="008468D2"/>
    <w:rsid w:val="00852AA6"/>
    <w:rsid w:val="0086008A"/>
    <w:rsid w:val="00861C0E"/>
    <w:rsid w:val="0087528D"/>
    <w:rsid w:val="0088173B"/>
    <w:rsid w:val="00885245"/>
    <w:rsid w:val="008C1F5F"/>
    <w:rsid w:val="008C582E"/>
    <w:rsid w:val="008C7241"/>
    <w:rsid w:val="008F2E8E"/>
    <w:rsid w:val="008F73D8"/>
    <w:rsid w:val="00912555"/>
    <w:rsid w:val="0092332E"/>
    <w:rsid w:val="00936005"/>
    <w:rsid w:val="00946F08"/>
    <w:rsid w:val="00947238"/>
    <w:rsid w:val="00952A66"/>
    <w:rsid w:val="009535F1"/>
    <w:rsid w:val="009543D1"/>
    <w:rsid w:val="009662AA"/>
    <w:rsid w:val="00966E6F"/>
    <w:rsid w:val="009750E9"/>
    <w:rsid w:val="00986BA7"/>
    <w:rsid w:val="0099096B"/>
    <w:rsid w:val="009B5F0A"/>
    <w:rsid w:val="009B6A76"/>
    <w:rsid w:val="009D472A"/>
    <w:rsid w:val="009E2738"/>
    <w:rsid w:val="009E788C"/>
    <w:rsid w:val="009F0CC6"/>
    <w:rsid w:val="009F24F8"/>
    <w:rsid w:val="009F58A7"/>
    <w:rsid w:val="009F6492"/>
    <w:rsid w:val="00A02128"/>
    <w:rsid w:val="00A0670D"/>
    <w:rsid w:val="00A1420F"/>
    <w:rsid w:val="00A1450A"/>
    <w:rsid w:val="00A162BF"/>
    <w:rsid w:val="00A62C61"/>
    <w:rsid w:val="00A6370D"/>
    <w:rsid w:val="00A671C5"/>
    <w:rsid w:val="00A7186A"/>
    <w:rsid w:val="00A735DF"/>
    <w:rsid w:val="00A83624"/>
    <w:rsid w:val="00A8377B"/>
    <w:rsid w:val="00AB0F7A"/>
    <w:rsid w:val="00AC4E03"/>
    <w:rsid w:val="00AD022E"/>
    <w:rsid w:val="00AD4058"/>
    <w:rsid w:val="00AD4CDC"/>
    <w:rsid w:val="00AD601C"/>
    <w:rsid w:val="00AF312D"/>
    <w:rsid w:val="00AF5F81"/>
    <w:rsid w:val="00B00A2F"/>
    <w:rsid w:val="00B042E5"/>
    <w:rsid w:val="00B1250E"/>
    <w:rsid w:val="00B12B85"/>
    <w:rsid w:val="00B1641A"/>
    <w:rsid w:val="00B32C6B"/>
    <w:rsid w:val="00B3605D"/>
    <w:rsid w:val="00B40A55"/>
    <w:rsid w:val="00B42E3D"/>
    <w:rsid w:val="00B45838"/>
    <w:rsid w:val="00B47002"/>
    <w:rsid w:val="00B54134"/>
    <w:rsid w:val="00B57FA5"/>
    <w:rsid w:val="00B63B93"/>
    <w:rsid w:val="00B80577"/>
    <w:rsid w:val="00B833A6"/>
    <w:rsid w:val="00B8725D"/>
    <w:rsid w:val="00BA1516"/>
    <w:rsid w:val="00BB0E69"/>
    <w:rsid w:val="00BB2EE1"/>
    <w:rsid w:val="00BB541B"/>
    <w:rsid w:val="00BC2576"/>
    <w:rsid w:val="00BE06D7"/>
    <w:rsid w:val="00BE3E03"/>
    <w:rsid w:val="00C006F2"/>
    <w:rsid w:val="00C05557"/>
    <w:rsid w:val="00C20E63"/>
    <w:rsid w:val="00C329BC"/>
    <w:rsid w:val="00C3488F"/>
    <w:rsid w:val="00C35623"/>
    <w:rsid w:val="00C364A5"/>
    <w:rsid w:val="00C36F2B"/>
    <w:rsid w:val="00C52982"/>
    <w:rsid w:val="00C62B6F"/>
    <w:rsid w:val="00C95F27"/>
    <w:rsid w:val="00CA325F"/>
    <w:rsid w:val="00CA576E"/>
    <w:rsid w:val="00CB37E9"/>
    <w:rsid w:val="00CB4518"/>
    <w:rsid w:val="00CC1388"/>
    <w:rsid w:val="00CC475F"/>
    <w:rsid w:val="00CC47BA"/>
    <w:rsid w:val="00CC624C"/>
    <w:rsid w:val="00CD0428"/>
    <w:rsid w:val="00CD4C3E"/>
    <w:rsid w:val="00CE5C9E"/>
    <w:rsid w:val="00CF26D6"/>
    <w:rsid w:val="00D12959"/>
    <w:rsid w:val="00D135EA"/>
    <w:rsid w:val="00D14FFA"/>
    <w:rsid w:val="00D23B33"/>
    <w:rsid w:val="00D30A05"/>
    <w:rsid w:val="00D34BF5"/>
    <w:rsid w:val="00D35A3B"/>
    <w:rsid w:val="00D416E6"/>
    <w:rsid w:val="00D420FC"/>
    <w:rsid w:val="00D45D80"/>
    <w:rsid w:val="00D47EBD"/>
    <w:rsid w:val="00D5213E"/>
    <w:rsid w:val="00D60217"/>
    <w:rsid w:val="00D65223"/>
    <w:rsid w:val="00D67034"/>
    <w:rsid w:val="00D67ABF"/>
    <w:rsid w:val="00D737E0"/>
    <w:rsid w:val="00D74D28"/>
    <w:rsid w:val="00D77F35"/>
    <w:rsid w:val="00D80474"/>
    <w:rsid w:val="00D807D0"/>
    <w:rsid w:val="00D84860"/>
    <w:rsid w:val="00D973F9"/>
    <w:rsid w:val="00D97A69"/>
    <w:rsid w:val="00DC137B"/>
    <w:rsid w:val="00DD54B0"/>
    <w:rsid w:val="00DE42F9"/>
    <w:rsid w:val="00DE6650"/>
    <w:rsid w:val="00E0096F"/>
    <w:rsid w:val="00E01075"/>
    <w:rsid w:val="00E02221"/>
    <w:rsid w:val="00E040BC"/>
    <w:rsid w:val="00E231BA"/>
    <w:rsid w:val="00E2334B"/>
    <w:rsid w:val="00E37911"/>
    <w:rsid w:val="00E4398F"/>
    <w:rsid w:val="00E57164"/>
    <w:rsid w:val="00E622A3"/>
    <w:rsid w:val="00E75AF2"/>
    <w:rsid w:val="00E85A56"/>
    <w:rsid w:val="00E86F0C"/>
    <w:rsid w:val="00E90823"/>
    <w:rsid w:val="00E94CE1"/>
    <w:rsid w:val="00E9578A"/>
    <w:rsid w:val="00EA2020"/>
    <w:rsid w:val="00EB1674"/>
    <w:rsid w:val="00EC342A"/>
    <w:rsid w:val="00ED0469"/>
    <w:rsid w:val="00ED058D"/>
    <w:rsid w:val="00ED0603"/>
    <w:rsid w:val="00ED14BF"/>
    <w:rsid w:val="00ED1915"/>
    <w:rsid w:val="00ED39C2"/>
    <w:rsid w:val="00ED6BA0"/>
    <w:rsid w:val="00EF264A"/>
    <w:rsid w:val="00F00BDA"/>
    <w:rsid w:val="00F04319"/>
    <w:rsid w:val="00F05E6B"/>
    <w:rsid w:val="00F108B0"/>
    <w:rsid w:val="00F40B95"/>
    <w:rsid w:val="00F41045"/>
    <w:rsid w:val="00F450BA"/>
    <w:rsid w:val="00F53CD4"/>
    <w:rsid w:val="00F56573"/>
    <w:rsid w:val="00F72AD8"/>
    <w:rsid w:val="00F84DDC"/>
    <w:rsid w:val="00FA0187"/>
    <w:rsid w:val="00FA0BBF"/>
    <w:rsid w:val="00FC23DD"/>
    <w:rsid w:val="00FC3D83"/>
    <w:rsid w:val="00FD0806"/>
    <w:rsid w:val="00FE6A98"/>
    <w:rsid w:val="00FF01AB"/>
    <w:rsid w:val="00FF34A2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06"/>
  </w:style>
  <w:style w:type="paragraph" w:styleId="Naslov1">
    <w:name w:val="heading 1"/>
    <w:basedOn w:val="Normal"/>
    <w:next w:val="Normal"/>
    <w:link w:val="Naslov1Char"/>
    <w:uiPriority w:val="9"/>
    <w:qFormat/>
    <w:rsid w:val="00C0555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55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55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5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5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5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5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5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5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C67"/>
  </w:style>
  <w:style w:type="paragraph" w:styleId="Podnoje">
    <w:name w:val="footer"/>
    <w:basedOn w:val="Normal"/>
    <w:link w:val="Podno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C67"/>
  </w:style>
  <w:style w:type="paragraph" w:styleId="Tekstfusnote">
    <w:name w:val="footnote text"/>
    <w:basedOn w:val="Normal"/>
    <w:link w:val="TekstfusnoteChar"/>
    <w:uiPriority w:val="99"/>
    <w:unhideWhenUsed/>
    <w:rsid w:val="0038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83C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C05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55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55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55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5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5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557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055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0555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C0555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55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557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C05557"/>
    <w:rPr>
      <w:b/>
      <w:bCs/>
    </w:rPr>
  </w:style>
  <w:style w:type="character" w:styleId="Istaknuto">
    <w:name w:val="Emphasis"/>
    <w:basedOn w:val="Zadanifontodlomka"/>
    <w:uiPriority w:val="20"/>
    <w:qFormat/>
    <w:rsid w:val="00C05557"/>
    <w:rPr>
      <w:i/>
      <w:iCs/>
      <w:color w:val="000000" w:themeColor="text1"/>
    </w:rPr>
  </w:style>
  <w:style w:type="paragraph" w:styleId="Bezproreda">
    <w:name w:val="No Spacing"/>
    <w:uiPriority w:val="1"/>
    <w:qFormat/>
    <w:rsid w:val="00C0555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0555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05557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55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55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C0555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C05557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055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05557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C05557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05557"/>
    <w:pPr>
      <w:outlineLvl w:val="9"/>
    </w:pPr>
  </w:style>
  <w:style w:type="paragraph" w:styleId="Odlomakpopisa">
    <w:name w:val="List Paragraph"/>
    <w:basedOn w:val="Normal"/>
    <w:uiPriority w:val="34"/>
    <w:qFormat/>
    <w:rsid w:val="00D42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1B7"/>
    <w:rPr>
      <w:rFonts w:ascii="Segoe UI" w:hAnsi="Segoe UI" w:cs="Segoe UI"/>
      <w:sz w:val="18"/>
      <w:szCs w:val="18"/>
    </w:rPr>
  </w:style>
  <w:style w:type="paragraph" w:customStyle="1" w:styleId="Odlomakpopisa2">
    <w:name w:val="Odlomak popisa2"/>
    <w:basedOn w:val="Normal"/>
    <w:link w:val="OdlomakpopisaChar"/>
    <w:uiPriority w:val="34"/>
    <w:qFormat/>
    <w:rsid w:val="006E23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2"/>
    <w:uiPriority w:val="34"/>
    <w:locked/>
    <w:rsid w:val="006E230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806"/>
  </w:style>
  <w:style w:type="paragraph" w:styleId="Naslov1">
    <w:name w:val="heading 1"/>
    <w:basedOn w:val="Normal"/>
    <w:next w:val="Normal"/>
    <w:link w:val="Naslov1Char"/>
    <w:uiPriority w:val="9"/>
    <w:qFormat/>
    <w:rsid w:val="00C0555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555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555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555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55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55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55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55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555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C67"/>
  </w:style>
  <w:style w:type="paragraph" w:styleId="Podnoje">
    <w:name w:val="footer"/>
    <w:basedOn w:val="Normal"/>
    <w:link w:val="PodnojeChar"/>
    <w:uiPriority w:val="99"/>
    <w:unhideWhenUsed/>
    <w:rsid w:val="0038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C67"/>
  </w:style>
  <w:style w:type="paragraph" w:styleId="Tekstfusnote">
    <w:name w:val="footnote text"/>
    <w:basedOn w:val="Normal"/>
    <w:link w:val="TekstfusnoteChar"/>
    <w:uiPriority w:val="99"/>
    <w:unhideWhenUsed/>
    <w:rsid w:val="0038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83C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C0555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555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555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555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555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555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555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5557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0555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C05557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C05557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5557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5557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C05557"/>
    <w:rPr>
      <w:b/>
      <w:bCs/>
    </w:rPr>
  </w:style>
  <w:style w:type="character" w:styleId="Istaknuto">
    <w:name w:val="Emphasis"/>
    <w:basedOn w:val="Zadanifontodlomka"/>
    <w:uiPriority w:val="20"/>
    <w:qFormat/>
    <w:rsid w:val="00C05557"/>
    <w:rPr>
      <w:i/>
      <w:iCs/>
      <w:color w:val="000000" w:themeColor="text1"/>
    </w:rPr>
  </w:style>
  <w:style w:type="paragraph" w:styleId="Bezproreda">
    <w:name w:val="No Spacing"/>
    <w:uiPriority w:val="1"/>
    <w:qFormat/>
    <w:rsid w:val="00C05557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C05557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C05557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555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555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C05557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C05557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0555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05557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C05557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05557"/>
    <w:pPr>
      <w:outlineLvl w:val="9"/>
    </w:pPr>
  </w:style>
  <w:style w:type="paragraph" w:styleId="Odlomakpopisa">
    <w:name w:val="List Paragraph"/>
    <w:basedOn w:val="Normal"/>
    <w:uiPriority w:val="34"/>
    <w:qFormat/>
    <w:rsid w:val="00D420F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95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51B7"/>
    <w:rPr>
      <w:rFonts w:ascii="Segoe UI" w:hAnsi="Segoe UI" w:cs="Segoe UI"/>
      <w:sz w:val="18"/>
      <w:szCs w:val="18"/>
    </w:rPr>
  </w:style>
  <w:style w:type="paragraph" w:customStyle="1" w:styleId="Odlomakpopisa2">
    <w:name w:val="Odlomak popisa2"/>
    <w:basedOn w:val="Normal"/>
    <w:link w:val="OdlomakpopisaChar"/>
    <w:uiPriority w:val="34"/>
    <w:qFormat/>
    <w:rsid w:val="006E230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link w:val="Odlomakpopisa2"/>
    <w:uiPriority w:val="34"/>
    <w:locked/>
    <w:rsid w:val="006E230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D771-18B2-4764-98D5-10A925C9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MGIPU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Nediljka Gruden</dc:creator>
  <cp:lastModifiedBy>Nediljka Gruden</cp:lastModifiedBy>
  <cp:revision>37</cp:revision>
  <cp:lastPrinted>2019-09-10T08:58:00Z</cp:lastPrinted>
  <dcterms:created xsi:type="dcterms:W3CDTF">2019-11-29T11:23:00Z</dcterms:created>
  <dcterms:modified xsi:type="dcterms:W3CDTF">2020-02-12T12:25:00Z</dcterms:modified>
</cp:coreProperties>
</file>